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4794" w:type="dxa"/>
        <w:jc w:val="left"/>
        <w:tblInd w:w="-113" w:type="dxa"/>
        <w:tblLayout w:type="fixed"/>
        <w:tblCellMar>
          <w:top w:w="0" w:type="dxa"/>
          <w:left w:w="113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102"/>
        <w:gridCol w:w="330"/>
        <w:gridCol w:w="1695"/>
        <w:gridCol w:w="1500"/>
        <w:gridCol w:w="1035"/>
        <w:gridCol w:w="810"/>
        <w:gridCol w:w="735"/>
        <w:gridCol w:w="810"/>
        <w:gridCol w:w="825"/>
        <w:gridCol w:w="840"/>
        <w:gridCol w:w="810"/>
        <w:gridCol w:w="825"/>
        <w:gridCol w:w="825"/>
        <w:gridCol w:w="900"/>
        <w:gridCol w:w="752"/>
      </w:tblGrid>
      <w:tr>
        <w:trPr>
          <w:trHeight w:val="254" w:hRule="atLeast"/>
        </w:trPr>
        <w:tc>
          <w:tcPr>
            <w:tcW w:w="14794" w:type="dxa"/>
            <w:gridSpan w:val="15"/>
            <w:tcBorders>
              <w:bottom w:val="single" w:sz="4" w:space="0" w:color="00000A"/>
            </w:tcBorders>
          </w:tcPr>
          <w:p>
            <w:pPr>
              <w:pStyle w:val="Normal"/>
              <w:widowControl w:val="false"/>
              <w:spacing w:before="0" w:after="57"/>
              <w:rPr>
                <w:rFonts w:ascii="Arial" w:hAnsi="Arial"/>
              </w:rPr>
            </w:pPr>
            <w:r>
              <w:rPr>
                <w:rFonts w:cs="Arial" w:ascii="Arial" w:hAnsi="Arial"/>
                <w:b/>
                <w:color w:val="009DA5"/>
                <w:sz w:val="28"/>
              </w:rPr>
              <w:t>NOMBRE DE LA EMPRESA</w:t>
            </w:r>
            <w:r>
              <w:rPr>
                <w:rFonts w:cs="Arial" w:ascii="Arial" w:hAnsi="Arial"/>
                <w:b/>
                <w:color w:val="009DA5"/>
              </w:rPr>
              <w:t>: _________________</w:t>
            </w:r>
          </w:p>
        </w:tc>
      </w:tr>
      <w:tr>
        <w:trPr/>
        <w:tc>
          <w:tcPr>
            <w:tcW w:w="2102" w:type="dxa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sz w:val="26"/>
                <w:szCs w:val="26"/>
              </w:rPr>
            </w:pPr>
            <w:r>
              <w:rPr>
                <w:rFonts w:ascii="Arial" w:hAnsi="Arial"/>
                <w:b/>
                <w:sz w:val="26"/>
                <w:szCs w:val="26"/>
              </w:rPr>
              <w:t>Gama</w:t>
            </w:r>
          </w:p>
        </w:tc>
        <w:tc>
          <w:tcPr>
            <w:tcW w:w="202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sz w:val="26"/>
                <w:szCs w:val="26"/>
              </w:rPr>
            </w:pPr>
            <w:r>
              <w:rPr>
                <w:rFonts w:ascii="Arial" w:hAnsi="Arial"/>
                <w:b/>
                <w:sz w:val="26"/>
                <w:szCs w:val="26"/>
              </w:rPr>
              <w:t>Decisión</w:t>
            </w:r>
          </w:p>
        </w:tc>
        <w:tc>
          <w:tcPr>
            <w:tcW w:w="15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Costes adicionales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3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00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Años (Rondas) </w:t>
            </w:r>
          </w:p>
        </w:tc>
      </w:tr>
      <w:tr>
        <w:trPr>
          <w:trHeight w:val="342" w:hRule="atLeast"/>
        </w:trPr>
        <w:tc>
          <w:tcPr>
            <w:tcW w:w="2102" w:type="dxa"/>
            <w:vMerge w:val="continue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2025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15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ascii="Arial" w:hAnsi="Arial"/>
                <w:i/>
                <w:color w:val="A6A6A6"/>
                <w:sz w:val="16"/>
                <w:szCs w:val="22"/>
              </w:rPr>
              <w:t>Ejemplo</w:t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00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00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00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00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00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00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00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7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00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00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9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00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10</w:t>
            </w:r>
          </w:p>
        </w:tc>
      </w:tr>
      <w:tr>
        <w:trPr>
          <w:trHeight w:val="266" w:hRule="exact"/>
        </w:trPr>
        <w:tc>
          <w:tcPr>
            <w:tcW w:w="2102" w:type="dxa"/>
            <w:vMerge w:val="restart"/>
            <w:tcBorders>
              <w:top w:val="single" w:sz="4" w:space="0" w:color="00000A"/>
              <w:left w:val="single" w:sz="12" w:space="0" w:color="00000A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Ingredientes ecológicos</w:t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0 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Ninguno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+ 0,00 € 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D6E3BC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continue"/>
            <w:tcBorders>
              <w:top w:val="single" w:sz="4" w:space="0" w:color="00000A"/>
              <w:left w:val="single" w:sz="12" w:space="0" w:color="00000A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33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</w:t>
            </w:r>
          </w:p>
        </w:tc>
        <w:tc>
          <w:tcPr>
            <w:tcW w:w="1695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 ingrediente</w:t>
            </w:r>
          </w:p>
        </w:tc>
        <w:tc>
          <w:tcPr>
            <w:tcW w:w="150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+ 0,05 €</w:t>
            </w:r>
          </w:p>
        </w:tc>
        <w:tc>
          <w:tcPr>
            <w:tcW w:w="1035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  <w:t>1</w:t>
            </w:r>
          </w:p>
        </w:tc>
        <w:tc>
          <w:tcPr>
            <w:tcW w:w="81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continue"/>
            <w:tcBorders>
              <w:top w:val="single" w:sz="4" w:space="0" w:color="00000A"/>
              <w:left w:val="single" w:sz="12" w:space="0" w:color="00000A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33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</w:t>
            </w:r>
          </w:p>
        </w:tc>
        <w:tc>
          <w:tcPr>
            <w:tcW w:w="1695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2 Ingredientes  </w:t>
            </w:r>
          </w:p>
        </w:tc>
        <w:tc>
          <w:tcPr>
            <w:tcW w:w="150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+ 0,10 €</w:t>
            </w:r>
          </w:p>
        </w:tc>
        <w:tc>
          <w:tcPr>
            <w:tcW w:w="1035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continue"/>
            <w:tcBorders>
              <w:top w:val="single" w:sz="4" w:space="0" w:color="00000A"/>
              <w:left w:val="single" w:sz="12" w:space="0" w:color="00000A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33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3</w:t>
            </w:r>
          </w:p>
        </w:tc>
        <w:tc>
          <w:tcPr>
            <w:tcW w:w="1695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3 Ingredientes  </w:t>
            </w:r>
          </w:p>
        </w:tc>
        <w:tc>
          <w:tcPr>
            <w:tcW w:w="150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+ 0,15 €</w:t>
            </w:r>
          </w:p>
        </w:tc>
        <w:tc>
          <w:tcPr>
            <w:tcW w:w="1035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left w:val="single" w:sz="4" w:space="0" w:color="00000A"/>
              <w:bottom w:val="single" w:sz="4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continue"/>
            <w:tcBorders>
              <w:top w:val="single" w:sz="4" w:space="0" w:color="00000A"/>
              <w:left w:val="single" w:sz="12" w:space="0" w:color="00000A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330" w:type="dxa"/>
            <w:tcBorders>
              <w:left w:val="single" w:sz="4" w:space="0" w:color="00000A"/>
              <w:bottom w:val="single" w:sz="10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4</w:t>
            </w:r>
          </w:p>
        </w:tc>
        <w:tc>
          <w:tcPr>
            <w:tcW w:w="1695" w:type="dxa"/>
            <w:tcBorders>
              <w:left w:val="single" w:sz="4" w:space="0" w:color="00000A"/>
              <w:bottom w:val="single" w:sz="10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4 Ingredientes  </w:t>
            </w:r>
          </w:p>
        </w:tc>
        <w:tc>
          <w:tcPr>
            <w:tcW w:w="1500" w:type="dxa"/>
            <w:tcBorders>
              <w:left w:val="single" w:sz="4" w:space="0" w:color="00000A"/>
              <w:bottom w:val="single" w:sz="10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+ 0,20 €</w:t>
            </w:r>
          </w:p>
        </w:tc>
        <w:tc>
          <w:tcPr>
            <w:tcW w:w="1035" w:type="dxa"/>
            <w:tcBorders>
              <w:left w:val="single" w:sz="4" w:space="0" w:color="00000A"/>
              <w:bottom w:val="single" w:sz="10" w:space="0" w:color="00000A"/>
            </w:tcBorders>
            <w:shd w:color="auto" w:fill="D6E3BC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0" w:type="dxa"/>
            <w:tcBorders>
              <w:left w:val="single" w:sz="4" w:space="0" w:color="00000A"/>
              <w:bottom w:val="single" w:sz="10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left w:val="single" w:sz="4" w:space="0" w:color="00000A"/>
              <w:bottom w:val="single" w:sz="10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left w:val="single" w:sz="4" w:space="0" w:color="00000A"/>
              <w:bottom w:val="single" w:sz="10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left w:val="single" w:sz="4" w:space="0" w:color="00000A"/>
              <w:bottom w:val="single" w:sz="10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left w:val="single" w:sz="4" w:space="0" w:color="00000A"/>
              <w:bottom w:val="single" w:sz="10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left w:val="single" w:sz="4" w:space="0" w:color="00000A"/>
              <w:bottom w:val="single" w:sz="10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left w:val="single" w:sz="4" w:space="0" w:color="00000A"/>
              <w:bottom w:val="single" w:sz="10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left w:val="single" w:sz="4" w:space="0" w:color="00000A"/>
              <w:bottom w:val="single" w:sz="10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left w:val="single" w:sz="4" w:space="0" w:color="00000A"/>
              <w:bottom w:val="single" w:sz="10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left w:val="single" w:sz="4" w:space="0" w:color="00000A"/>
              <w:bottom w:val="single" w:sz="10" w:space="0" w:color="00000A"/>
              <w:right w:val="single" w:sz="2" w:space="0" w:color="00000A"/>
            </w:tcBorders>
            <w:shd w:color="auto" w:fill="D6E3BC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restart"/>
            <w:tcBorders>
              <w:top w:val="single" w:sz="10" w:space="0" w:color="00000A"/>
              <w:left w:val="single" w:sz="12" w:space="0" w:color="00000A"/>
              <w:bottom w:val="single" w:sz="10" w:space="0" w:color="00000A"/>
            </w:tcBorders>
            <w:shd w:color="auto" w:fill="7F7F7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  <w:color w:val="FFFFFF"/>
              </w:rPr>
            </w:pPr>
            <w:r>
              <w:rPr>
                <w:rFonts w:ascii="Arial" w:hAnsi="Arial"/>
                <w:b/>
              </w:rPr>
              <w:t>Adquisición de electricidad</w:t>
            </w:r>
          </w:p>
        </w:tc>
        <w:tc>
          <w:tcPr>
            <w:tcW w:w="330" w:type="dxa"/>
            <w:tcBorders>
              <w:top w:val="single" w:sz="10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0</w:t>
            </w:r>
          </w:p>
        </w:tc>
        <w:tc>
          <w:tcPr>
            <w:tcW w:w="1695" w:type="dxa"/>
            <w:tcBorders>
              <w:top w:val="single" w:sz="10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100% carbón</w:t>
            </w:r>
          </w:p>
        </w:tc>
        <w:tc>
          <w:tcPr>
            <w:tcW w:w="1500" w:type="dxa"/>
            <w:tcBorders>
              <w:top w:val="single" w:sz="10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+ 0,00 € </w:t>
            </w:r>
          </w:p>
        </w:tc>
        <w:tc>
          <w:tcPr>
            <w:tcW w:w="1035" w:type="dxa"/>
            <w:tcBorders>
              <w:top w:val="single" w:sz="10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  <w:t>0</w:t>
            </w:r>
          </w:p>
        </w:tc>
        <w:tc>
          <w:tcPr>
            <w:tcW w:w="810" w:type="dxa"/>
            <w:tcBorders>
              <w:top w:val="single" w:sz="10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10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10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10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10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10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10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10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10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10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continue"/>
            <w:tcBorders>
              <w:top w:val="single" w:sz="10" w:space="0" w:color="00000A"/>
              <w:left w:val="single" w:sz="12" w:space="0" w:color="00000A"/>
              <w:bottom w:val="single" w:sz="10" w:space="0" w:color="00000A"/>
            </w:tcBorders>
            <w:shd w:color="auto" w:fill="7F7F7F" w:val="clear"/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33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25% renovable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+ 0,05 €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continue"/>
            <w:tcBorders>
              <w:top w:val="single" w:sz="10" w:space="0" w:color="00000A"/>
              <w:left w:val="single" w:sz="12" w:space="0" w:color="00000A"/>
              <w:bottom w:val="single" w:sz="10" w:space="0" w:color="00000A"/>
            </w:tcBorders>
            <w:shd w:color="auto" w:fill="7F7F7F" w:val="clear"/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33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pacing w:val="3"/>
                <w:kern w:val="0"/>
                <w:sz w:val="21"/>
                <w:szCs w:val="21"/>
              </w:rPr>
              <w:t xml:space="preserve">50% </w:t>
            </w:r>
            <w:r>
              <w:rPr>
                <w:rFonts w:ascii="Arial" w:hAnsi="Arial"/>
                <w:spacing w:val="2"/>
                <w:kern w:val="0"/>
                <w:sz w:val="21"/>
                <w:szCs w:val="21"/>
              </w:rPr>
              <w:t>renovable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+ 0,10 €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continue"/>
            <w:tcBorders>
              <w:top w:val="single" w:sz="10" w:space="0" w:color="00000A"/>
              <w:left w:val="single" w:sz="12" w:space="0" w:color="00000A"/>
              <w:bottom w:val="single" w:sz="10" w:space="0" w:color="00000A"/>
            </w:tcBorders>
            <w:shd w:color="auto" w:fill="7F7F7F" w:val="clear"/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33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3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75% renovable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+ 0,15 €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continue"/>
            <w:tcBorders>
              <w:top w:val="single" w:sz="10" w:space="0" w:color="00000A"/>
              <w:left w:val="single" w:sz="12" w:space="0" w:color="00000A"/>
              <w:bottom w:val="single" w:sz="10" w:space="0" w:color="00000A"/>
            </w:tcBorders>
            <w:shd w:color="auto" w:fill="7F7F7F" w:val="clear"/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330" w:type="dxa"/>
            <w:tcBorders>
              <w:top w:val="single" w:sz="4" w:space="0" w:color="00000A"/>
              <w:left w:val="single" w:sz="2" w:space="0" w:color="00000A"/>
              <w:bottom w:val="single" w:sz="10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4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2" w:space="0" w:color="00000A"/>
              <w:bottom w:val="single" w:sz="10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100% renovable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2" w:space="0" w:color="00000A"/>
              <w:bottom w:val="single" w:sz="10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+ 0,20 €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2" w:space="0" w:color="00000A"/>
              <w:bottom w:val="single" w:sz="10" w:space="0" w:color="00000A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2" w:space="0" w:color="00000A"/>
              <w:bottom w:val="single" w:sz="10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2" w:space="0" w:color="00000A"/>
              <w:bottom w:val="single" w:sz="10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2" w:space="0" w:color="00000A"/>
              <w:bottom w:val="single" w:sz="10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2" w:space="0" w:color="00000A"/>
              <w:bottom w:val="single" w:sz="10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2" w:space="0" w:color="00000A"/>
              <w:bottom w:val="single" w:sz="10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2" w:space="0" w:color="00000A"/>
              <w:bottom w:val="single" w:sz="10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2" w:space="0" w:color="00000A"/>
              <w:bottom w:val="single" w:sz="10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2" w:space="0" w:color="00000A"/>
              <w:bottom w:val="single" w:sz="10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2" w:space="0" w:color="00000A"/>
              <w:bottom w:val="single" w:sz="10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2" w:space="0" w:color="00000A"/>
              <w:bottom w:val="single" w:sz="10" w:space="0" w:color="00000A"/>
              <w:right w:val="single" w:sz="4" w:space="0" w:color="00000A"/>
            </w:tcBorders>
            <w:shd w:color="auto" w:fill="F2F2F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restart"/>
            <w:tcBorders>
              <w:top w:val="single" w:sz="10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color="auto" w:fill="FFC000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Comercio justo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(proveedores)</w:t>
            </w:r>
          </w:p>
        </w:tc>
        <w:tc>
          <w:tcPr>
            <w:tcW w:w="330" w:type="dxa"/>
            <w:tcBorders>
              <w:top w:val="single" w:sz="10" w:space="0" w:color="00000A"/>
              <w:left w:val="single" w:sz="4" w:space="0" w:color="00000A"/>
              <w:bottom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0 </w:t>
            </w:r>
          </w:p>
        </w:tc>
        <w:tc>
          <w:tcPr>
            <w:tcW w:w="1695" w:type="dxa"/>
            <w:tcBorders>
              <w:top w:val="single" w:sz="10" w:space="0" w:color="00000A"/>
              <w:left w:val="single" w:sz="4" w:space="0" w:color="00000A"/>
              <w:bottom w:val="single" w:sz="4" w:space="0" w:color="00000A"/>
            </w:tcBorders>
            <w:shd w:color="auto" w:fill="FBD4B4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0% justo</w:t>
            </w:r>
          </w:p>
        </w:tc>
        <w:tc>
          <w:tcPr>
            <w:tcW w:w="1500" w:type="dxa"/>
            <w:tcBorders>
              <w:top w:val="single" w:sz="10" w:space="0" w:color="00000A"/>
              <w:left w:val="single" w:sz="4" w:space="0" w:color="00000A"/>
              <w:bottom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+ 0,00 € </w:t>
            </w:r>
          </w:p>
        </w:tc>
        <w:tc>
          <w:tcPr>
            <w:tcW w:w="1035" w:type="dxa"/>
            <w:tcBorders>
              <w:top w:val="single" w:sz="10" w:space="0" w:color="00000A"/>
              <w:left w:val="single" w:sz="4" w:space="0" w:color="00000A"/>
              <w:bottom w:val="single" w:sz="4" w:space="0" w:color="00000A"/>
            </w:tcBorders>
            <w:shd w:color="auto" w:fill="FBD4B4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0" w:type="dxa"/>
            <w:tcBorders>
              <w:top w:val="single" w:sz="10" w:space="0" w:color="00000A"/>
              <w:left w:val="single" w:sz="4" w:space="0" w:color="00000A"/>
              <w:bottom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10" w:space="0" w:color="00000A"/>
              <w:left w:val="single" w:sz="4" w:space="0" w:color="00000A"/>
              <w:bottom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10" w:space="0" w:color="00000A"/>
              <w:left w:val="single" w:sz="4" w:space="0" w:color="00000A"/>
              <w:bottom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10" w:space="0" w:color="00000A"/>
              <w:left w:val="single" w:sz="4" w:space="0" w:color="00000A"/>
              <w:bottom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10" w:space="0" w:color="00000A"/>
              <w:left w:val="single" w:sz="4" w:space="0" w:color="00000A"/>
              <w:bottom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10" w:space="0" w:color="00000A"/>
              <w:left w:val="single" w:sz="4" w:space="0" w:color="00000A"/>
              <w:bottom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10" w:space="0" w:color="00000A"/>
              <w:left w:val="single" w:sz="4" w:space="0" w:color="00000A"/>
              <w:bottom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10" w:space="0" w:color="00000A"/>
              <w:left w:val="single" w:sz="4" w:space="0" w:color="00000A"/>
              <w:bottom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10" w:space="0" w:color="00000A"/>
              <w:left w:val="single" w:sz="4" w:space="0" w:color="00000A"/>
              <w:bottom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10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continue"/>
            <w:tcBorders>
              <w:top w:val="single" w:sz="10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color="auto" w:fill="FFC000" w:val="clear"/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25% justo 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+ 0,05 €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continue"/>
            <w:tcBorders>
              <w:top w:val="single" w:sz="10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color="auto" w:fill="FFC000" w:val="clear"/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50% justo 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+ 0,10 €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continue"/>
            <w:tcBorders>
              <w:top w:val="single" w:sz="10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color="auto" w:fill="FFC000" w:val="clear"/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3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75% justo 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+ 0,15 €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continue"/>
            <w:tcBorders>
              <w:top w:val="single" w:sz="10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color="auto" w:fill="FFC000" w:val="clear"/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4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BD4B4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100% justo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+ 0,20 €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BD4B4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  <w:right w:val="single" w:sz="4" w:space="0" w:color="00000A"/>
            </w:tcBorders>
            <w:shd w:color="auto" w:fill="FBD4B4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restart"/>
            <w:tcBorders>
              <w:top w:val="single" w:sz="10" w:space="0" w:color="00000A"/>
              <w:left w:val="single" w:sz="12" w:space="0" w:color="00000A"/>
              <w:bottom w:val="single" w:sz="10" w:space="0" w:color="00000A"/>
              <w:right w:val="single" w:sz="2" w:space="0" w:color="00000A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Salarios justos 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(Empleados)</w:t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0 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Salario mínimo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+ 0,00 € 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continue"/>
            <w:tcBorders>
              <w:top w:val="single" w:sz="10" w:space="0" w:color="00000A"/>
              <w:left w:val="single" w:sz="12" w:space="0" w:color="00000A"/>
              <w:bottom w:val="single" w:sz="10" w:space="0" w:color="00000A"/>
              <w:right w:val="single" w:sz="2" w:space="0" w:color="00000A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3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</w:t>
            </w:r>
          </w:p>
        </w:tc>
        <w:tc>
          <w:tcPr>
            <w:tcW w:w="16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ML +</w:t>
            </w:r>
          </w:p>
        </w:tc>
        <w:tc>
          <w:tcPr>
            <w:tcW w:w="15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+ 0,05 €</w:t>
            </w:r>
          </w:p>
        </w:tc>
        <w:tc>
          <w:tcPr>
            <w:tcW w:w="10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continue"/>
            <w:tcBorders>
              <w:top w:val="single" w:sz="10" w:space="0" w:color="00000A"/>
              <w:left w:val="single" w:sz="12" w:space="0" w:color="00000A"/>
              <w:bottom w:val="single" w:sz="10" w:space="0" w:color="00000A"/>
              <w:right w:val="single" w:sz="2" w:space="0" w:color="00000A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ML ++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+ 0,10 €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continue"/>
            <w:tcBorders>
              <w:top w:val="single" w:sz="10" w:space="0" w:color="00000A"/>
              <w:left w:val="single" w:sz="12" w:space="0" w:color="00000A"/>
              <w:bottom w:val="single" w:sz="10" w:space="0" w:color="00000A"/>
              <w:right w:val="single" w:sz="2" w:space="0" w:color="00000A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3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ML +++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+ 0,15 €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continue"/>
            <w:tcBorders>
              <w:top w:val="single" w:sz="10" w:space="0" w:color="00000A"/>
              <w:left w:val="single" w:sz="12" w:space="0" w:color="00000A"/>
              <w:bottom w:val="single" w:sz="10" w:space="0" w:color="00000A"/>
              <w:right w:val="single" w:sz="2" w:space="0" w:color="00000A"/>
            </w:tcBorders>
            <w:shd w:color="auto" w:fill="FF0000" w:val="clear"/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4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ML ++++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+ 0,20 €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EDAE2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  <w:right w:val="single" w:sz="2" w:space="0" w:color="00000A"/>
            </w:tcBorders>
            <w:shd w:color="auto" w:fill="FEDAE2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restart"/>
            <w:tcBorders>
              <w:top w:val="single" w:sz="10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color="auto" w:fill="8DB3E2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Calidad del lugar de trabajo</w:t>
            </w:r>
          </w:p>
        </w:tc>
        <w:tc>
          <w:tcPr>
            <w:tcW w:w="330" w:type="dxa"/>
            <w:tcBorders>
              <w:left w:val="single" w:sz="4" w:space="0" w:color="00000A"/>
              <w:bottom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0 </w:t>
            </w:r>
          </w:p>
        </w:tc>
        <w:tc>
          <w:tcPr>
            <w:tcW w:w="1695" w:type="dxa"/>
            <w:tcBorders>
              <w:left w:val="single" w:sz="4" w:space="0" w:color="00000A"/>
              <w:bottom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mal</w:t>
            </w:r>
          </w:p>
        </w:tc>
        <w:tc>
          <w:tcPr>
            <w:tcW w:w="1500" w:type="dxa"/>
            <w:tcBorders>
              <w:left w:val="single" w:sz="4" w:space="0" w:color="00000A"/>
              <w:bottom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+ 0,00 € </w:t>
            </w:r>
          </w:p>
        </w:tc>
        <w:tc>
          <w:tcPr>
            <w:tcW w:w="1035" w:type="dxa"/>
            <w:tcBorders>
              <w:left w:val="single" w:sz="4" w:space="0" w:color="00000A"/>
              <w:bottom w:val="single" w:sz="4" w:space="0" w:color="00000A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0" w:type="dxa"/>
            <w:tcBorders>
              <w:left w:val="single" w:sz="4" w:space="0" w:color="00000A"/>
              <w:bottom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35" w:type="dxa"/>
            <w:tcBorders>
              <w:left w:val="single" w:sz="4" w:space="0" w:color="00000A"/>
              <w:bottom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10" w:type="dxa"/>
            <w:tcBorders>
              <w:left w:val="single" w:sz="4" w:space="0" w:color="00000A"/>
              <w:bottom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25" w:type="dxa"/>
            <w:tcBorders>
              <w:left w:val="single" w:sz="4" w:space="0" w:color="00000A"/>
              <w:bottom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40" w:type="dxa"/>
            <w:tcBorders>
              <w:left w:val="single" w:sz="4" w:space="0" w:color="00000A"/>
              <w:bottom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10" w:type="dxa"/>
            <w:tcBorders>
              <w:left w:val="single" w:sz="4" w:space="0" w:color="00000A"/>
              <w:bottom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25" w:type="dxa"/>
            <w:tcBorders>
              <w:left w:val="single" w:sz="4" w:space="0" w:color="00000A"/>
              <w:bottom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825" w:type="dxa"/>
            <w:tcBorders>
              <w:left w:val="single" w:sz="4" w:space="0" w:color="00000A"/>
              <w:bottom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00" w:type="dxa"/>
            <w:tcBorders>
              <w:left w:val="single" w:sz="4" w:space="0" w:color="00000A"/>
              <w:bottom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752" w:type="dxa"/>
            <w:tcBorders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continue"/>
            <w:tcBorders>
              <w:top w:val="single" w:sz="10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color="auto" w:fill="8DB3E2" w:val="clear"/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bajo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+ 0,05 €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continue"/>
            <w:tcBorders>
              <w:top w:val="single" w:sz="10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color="auto" w:fill="8DB3E2" w:val="clear"/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media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+ 0,10 €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66" w:hRule="exact"/>
        </w:trPr>
        <w:tc>
          <w:tcPr>
            <w:tcW w:w="2102" w:type="dxa"/>
            <w:vMerge w:val="continue"/>
            <w:tcBorders>
              <w:top w:val="single" w:sz="10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color="auto" w:fill="8DB3E2" w:val="clear"/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3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agradable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+ 0,15 €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282" w:hRule="exact"/>
        </w:trPr>
        <w:tc>
          <w:tcPr>
            <w:tcW w:w="2102" w:type="dxa"/>
            <w:vMerge w:val="continue"/>
            <w:tcBorders>
              <w:top w:val="single" w:sz="10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color="auto" w:fill="8DB3E2" w:val="clear"/>
            <w:vAlign w:val="center"/>
          </w:tcPr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  <w:tc>
          <w:tcPr>
            <w:tcW w:w="330" w:type="dxa"/>
            <w:tcBorders>
              <w:top w:val="single" w:sz="4" w:space="0" w:color="00000A"/>
              <w:left w:val="single" w:sz="4" w:space="0" w:color="00000A"/>
              <w:bottom w:val="double" w:sz="12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4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double" w:sz="12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Muy beneficioso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double" w:sz="12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+ 0,20 €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double" w:sz="12" w:space="0" w:color="00000A"/>
              <w:right w:val="single" w:sz="4" w:space="0" w:color="00000A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double" w:sz="12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double" w:sz="12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double" w:sz="12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double" w:sz="12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double" w:sz="12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double" w:sz="12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double" w:sz="12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double" w:sz="12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double" w:sz="12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double" w:sz="12" w:space="0" w:color="00000A"/>
              <w:right w:val="single" w:sz="4" w:space="0" w:color="00000A"/>
            </w:tcBorders>
            <w:shd w:color="auto" w:fill="DBE5F1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508" w:hRule="atLeast"/>
        </w:trPr>
        <w:tc>
          <w:tcPr>
            <w:tcW w:w="5627" w:type="dxa"/>
            <w:gridSpan w:val="4"/>
            <w:tcBorders>
              <w:top w:val="doub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Coste por pieza </w:t>
            </w:r>
            <w:r>
              <w:rPr>
                <w:rFonts w:ascii="Arial" w:hAnsi="Arial"/>
                <w:sz w:val="20"/>
              </w:rPr>
              <w:t xml:space="preserve">(calcular: 0,50 euros + gastos adicionales) </w:t>
            </w:r>
          </w:p>
        </w:tc>
        <w:tc>
          <w:tcPr>
            <w:tcW w:w="1035" w:type="dxa"/>
            <w:tcBorders>
              <w:top w:val="doub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  <w:t>0,95</w:t>
            </w:r>
          </w:p>
        </w:tc>
        <w:tc>
          <w:tcPr>
            <w:tcW w:w="810" w:type="dxa"/>
            <w:tcBorders>
              <w:top w:val="doub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doub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doub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doub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doub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doub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doub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doub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doub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doub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397" w:hRule="atLeast"/>
        </w:trPr>
        <w:tc>
          <w:tcPr>
            <w:tcW w:w="5627" w:type="dxa"/>
            <w:gridSpan w:val="4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Precio por unidad</w:t>
            </w:r>
            <w:r>
              <w:rPr>
                <w:rFonts w:ascii="Arial" w:hAnsi="Arial"/>
                <w:b/>
              </w:rPr>
              <w:t xml:space="preserve">       </w:t>
            </w:r>
            <w:r>
              <w:rPr>
                <w:rFonts w:ascii="Arial" w:hAnsi="Arial"/>
                <w:sz w:val="20"/>
              </w:rPr>
              <w:t xml:space="preserve"> (determinado por la propia empresa)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  <w:t>1,15</w:t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397" w:hRule="atLeast"/>
        </w:trPr>
        <w:tc>
          <w:tcPr>
            <w:tcW w:w="5627" w:type="dxa"/>
            <w:gridSpan w:val="4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Cantidad de producción</w:t>
            </w:r>
            <w:r>
              <w:rPr>
                <w:rFonts w:ascii="Arial" w:hAnsi="Arial"/>
                <w:b/>
              </w:rPr>
              <w:t xml:space="preserve">     </w:t>
            </w:r>
            <w:r>
              <w:rPr>
                <w:rFonts w:ascii="Arial" w:hAnsi="Arial"/>
                <w:sz w:val="20"/>
              </w:rPr>
              <w:t xml:space="preserve"> (determinada por la propia empresa)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A6A6A6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A6A6A6"/>
                <w:sz w:val="16"/>
                <w:szCs w:val="22"/>
              </w:rPr>
              <w:t>90</w:t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397" w:hRule="atLeast"/>
        </w:trPr>
        <w:tc>
          <w:tcPr>
            <w:tcW w:w="5627" w:type="dxa"/>
            <w:gridSpan w:val="4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  <w:b/>
                <w:color w:val="808080"/>
                <w:sz w:val="22"/>
                <w:szCs w:val="22"/>
              </w:rPr>
              <w:t>Volumen de ventas</w:t>
            </w:r>
            <w:r>
              <w:rPr>
                <w:rFonts w:ascii="Arial" w:hAnsi="Arial"/>
                <w:b/>
                <w:color w:val="808080"/>
              </w:rPr>
              <w:t xml:space="preserve">          </w:t>
            </w:r>
            <w:r>
              <w:rPr>
                <w:rFonts w:ascii="Arial" w:hAnsi="Arial"/>
                <w:color w:val="808080"/>
                <w:sz w:val="20"/>
              </w:rPr>
              <w:t xml:space="preserve"> (consulte la visión general del mercado)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/>
              </w:rPr>
            </w:pPr>
            <w:r>
              <w:rPr>
                <w:rFonts w:eastAsia="Wingdings" w:cs="Wingdings" w:ascii="Arial" w:hAnsi="Arial"/>
                <w:i/>
                <w:color w:val="A6A6A6"/>
                <w:sz w:val="16"/>
                <w:szCs w:val="22"/>
              </w:rPr>
              <w:t xml:space="preserve">→ </w:t>
            </w:r>
            <w:r>
              <w:rPr>
                <w:rFonts w:eastAsia="Wingdings" w:cs="Arial" w:ascii="Arial" w:hAnsi="Arial"/>
                <w:i/>
                <w:color w:val="A6A6A6"/>
                <w:sz w:val="16"/>
                <w:szCs w:val="22"/>
              </w:rPr>
              <w:t>85</w:t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  <w:tr>
        <w:trPr>
          <w:trHeight w:val="397" w:hRule="atLeast"/>
        </w:trPr>
        <w:tc>
          <w:tcPr>
            <w:tcW w:w="5627" w:type="dxa"/>
            <w:gridSpan w:val="4"/>
            <w:tcBorders>
              <w:top w:val="single" w:sz="4" w:space="0" w:color="00000A"/>
              <w:left w:val="single" w:sz="12" w:space="0" w:color="00000A"/>
              <w:bottom w:val="single" w:sz="10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Arial" w:hAnsi="Arial"/>
              </w:rPr>
            </w:pPr>
            <w:r>
              <w:rPr>
                <w:rFonts w:ascii="Arial" w:hAnsi="Arial"/>
                <w:b/>
                <w:color w:val="808080"/>
                <w:sz w:val="22"/>
                <w:szCs w:val="22"/>
              </w:rPr>
              <w:t>Activo circulante</w:t>
            </w:r>
            <w:r>
              <w:rPr>
                <w:rFonts w:ascii="Arial" w:hAnsi="Arial"/>
                <w:b/>
                <w:color w:val="808080"/>
              </w:rPr>
              <w:t xml:space="preserve">  </w:t>
            </w:r>
            <w:r>
              <w:rPr>
                <w:rFonts w:ascii="Arial" w:hAnsi="Arial"/>
                <w:color w:val="808080"/>
                <w:sz w:val="20"/>
              </w:rPr>
              <w:t xml:space="preserve"> (¡vea la visión general del mercado!)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Arial" w:hAnsi="Arial" w:cs="Arial"/>
                <w:i/>
                <w:i/>
                <w:color w:val="000000"/>
                <w:sz w:val="16"/>
                <w:szCs w:val="22"/>
              </w:rPr>
            </w:pPr>
            <w:r>
              <w:rPr>
                <w:rFonts w:cs="Arial" w:ascii="Arial" w:hAnsi="Arial"/>
                <w:i/>
                <w:color w:val="000000"/>
                <w:sz w:val="16"/>
                <w:szCs w:val="22"/>
              </w:rPr>
              <w:t>= 102,25</w:t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10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10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</w:tr>
    </w:tbl>
    <w:p>
      <w:pPr>
        <w:pStyle w:val="Normal"/>
        <w:spacing w:before="0" w:after="120"/>
        <w:rPr>
          <w:sz w:val="12"/>
          <w:szCs w:val="13"/>
        </w:rPr>
      </w:pPr>
      <w:r>
        <w:rPr>
          <w:sz w:val="12"/>
          <w:szCs w:val="13"/>
        </w:rPr>
      </w:r>
    </w:p>
    <w:sectPr>
      <w:footerReference w:type="even" r:id="rId2"/>
      <w:footerReference w:type="default" r:id="rId3"/>
      <w:footerReference w:type="first" r:id="rId4"/>
      <w:type w:val="nextPage"/>
      <w:pgSz w:orient="landscape" w:w="16838" w:h="11906"/>
      <w:pgMar w:left="907" w:right="907" w:gutter="0" w:header="0" w:top="737" w:footer="680" w:bottom="102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Times New Roman">
    <w:charset w:val="01"/>
    <w:family w:val="roman"/>
    <w:pitch w:val="variable"/>
  </w:font>
  <w:font w:name="Carlito">
    <w:altName w:val="Calibri"/>
    <w:charset w:val="01"/>
    <w:family w:val="swiss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2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20"/>
      <w:rPr>
        <w:rFonts w:ascii="Arial" w:hAnsi="Arial"/>
        <w:color w:val="CCCCCC"/>
        <w:sz w:val="20"/>
        <w:szCs w:val="20"/>
      </w:rPr>
    </w:pPr>
    <w:r>
      <w:rPr>
        <w:rFonts w:ascii="Arial" w:hAnsi="Arial"/>
        <w:color w:val="CCCCCC"/>
        <w:sz w:val="20"/>
        <w:szCs w:val="20"/>
      </w:rPr>
      <w:t>Versión 1.1 | Estado: 11/2018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120"/>
      <w:rPr>
        <w:rFonts w:ascii="Arial" w:hAnsi="Arial"/>
        <w:color w:val="CCCCCC"/>
        <w:sz w:val="20"/>
        <w:szCs w:val="20"/>
      </w:rPr>
    </w:pPr>
    <w:r>
      <w:rPr>
        <w:rFonts w:ascii="Arial" w:hAnsi="Arial"/>
        <w:color w:val="CCCCCC"/>
        <w:sz w:val="20"/>
        <w:szCs w:val="20"/>
      </w:rPr>
      <w:t>Versión 1.1 | Estado: 11/2018</w:t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Mangal"/>
        <w:kern w:val="2"/>
        <w:sz w:val="24"/>
        <w:szCs w:val="24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true"/>
      <w:bidi w:val="0"/>
      <w:spacing w:before="0" w:after="120"/>
      <w:jc w:val="left"/>
    </w:pPr>
    <w:rPr>
      <w:rFonts w:ascii="Times New Roman" w:hAnsi="Times New Roman" w:eastAsia="Calibri" w:cs="Mangal"/>
      <w:color w:val="auto"/>
      <w:kern w:val="2"/>
      <w:sz w:val="24"/>
      <w:szCs w:val="24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ascii="Arial" w:hAnsi="Arial"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Lohit Devanagari"/>
      <w:i/>
      <w:iCs/>
    </w:rPr>
  </w:style>
  <w:style w:type="paragraph" w:styleId="Index">
    <w:name w:val="Index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BodyText"/>
    <w:uiPriority w:val="10"/>
    <w:qFormat/>
    <w:pPr>
      <w:keepNext w:val="true"/>
      <w:spacing w:before="240" w:after="120"/>
    </w:pPr>
    <w:rPr>
      <w:rFonts w:ascii="Arial" w:hAnsi="Arial" w:eastAsia="WenQuanYi Micro Hei" w:cs="Lohit Devanagari"/>
      <w:sz w:val="28"/>
      <w:szCs w:val="28"/>
    </w:rPr>
  </w:style>
  <w:style w:type="paragraph" w:styleId="ndice" w:customStyle="1">
    <w:name w:val="Índice"/>
    <w:basedOn w:val="Normal"/>
    <w:qFormat/>
    <w:pPr>
      <w:suppressLineNumbers/>
    </w:pPr>
    <w:rPr>
      <w:rFonts w:ascii="Arial" w:hAnsi="Arial" w:cs="Lohit Devanagari"/>
    </w:rPr>
  </w:style>
  <w:style w:type="paragraph" w:styleId="Contenidodelatabla" w:customStyle="1">
    <w:name w:val="Contenido de la tabla"/>
    <w:basedOn w:val="Normal"/>
    <w:qFormat/>
    <w:pPr/>
    <w:rPr/>
  </w:style>
  <w:style w:type="paragraph" w:styleId="Ttulodelatabla" w:customStyle="1">
    <w:name w:val="Título de la tabla"/>
    <w:basedOn w:val="Contenidodelatabla"/>
    <w:qFormat/>
    <w:pPr/>
    <w:rPr/>
  </w:style>
  <w:style w:type="paragraph" w:styleId="Cabeceraypie" w:customStyle="1">
    <w:name w:val="Cabecera y pie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Ningunalista" w:customStyle="1">
    <w:name w:val="Ninguna lista"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Application>Collabora_Office/24.04.13.3$Linux_X86_64 LibreOffice_project/cdcd03782bd25d2386546eda84b673742c8c8916</Application>
  <AppVersion>15.0000</AppVersion>
  <Pages>2</Pages>
  <Words>242</Words>
  <Characters>910</Characters>
  <CharactersWithSpaces>1083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2025-02-28T17:45:00Z</dcterms:created>
  <dc:creator/>
  <dc:description/>
  <cp:keywords> docId A7D581B1E3D387A05EBD408DA6AE5D06</cp:keywords>
  <dc:language>es-ES</dc:language>
  <cp:lastModifiedBy>Novessendes Fundacio</cp:lastModifiedBy>
  <cp:lastPrinted>2017-03-13T16:18:00Z</cp:lastPrinted>
  <dcterms:modified xsi:type="dcterms:W3CDTF">2025-05-06T14:25:00Z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